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97 vom 15. Juli 1991</w:t>
      </w:r>
    </w:p>
    <w:p>
      <w:r>
        <w:t>Bundesgericht (BGE), 1991-07-15, DE</w:t>
      </w:r>
    </w:p>
    <w:p>
      <w:r>
        <w:rPr>
          <w:b/>
        </w:rPr>
        <w:t xml:space="preserve">Quelle: </w:t>
      </w:r>
      <w:r>
        <w:t>https://mcp.opencaselaw.ch/entscheid/bge_117 IB 97</w:t>
      </w:r>
    </w:p>
    <w:p>
      <w:r>
        <w:t>FR: BGE 117 IB 97 du 15 juillet 1991</w:t>
      </w:r>
    </w:p>
    <w:p>
      <w:r>
        <w:t>IT: BGE 117 IB 97 del 15 luglio 1991</w:t>
      </w:r>
    </w:p>
    <w:p>
      <w:pPr>
        <w:pStyle w:val="Heading2"/>
      </w:pPr>
      <w:r>
        <w:t>Regeste</w:t>
      </w:r>
    </w:p>
    <w:p>
      <w:r>
        <w:t>Regeste Art. 103 lit. c OG, Art. 12 NHG, Art. 24 RPG; Beschwerdelegitimation gesamtschweizerischer Vereinigungen. Den gesamtschweizerischen Vereinigungen steht im Baubewilligungsverfahren nach Art. 24 RPG die Beschwerdebefugnis zu, soweit sie geltend machen, die erteilte Bewilligung verstosse gegen die nach Art. 24sexies BV und nach den Vorschriften des NHG notwendige Rücksichtnahme auf Natur und Heimat. Dabei ist weder Voraussetzung, dass es um ein öffentliches Bauvorhaben des Bundes geht, noch dass ein vom Bund nach Art. 5 NHG inventarisiertes Schutzobjekt betroffen wird.</w:t>
      </w:r>
    </w:p>
    <w:p>
      <w:pPr>
        <w:pStyle w:val="Heading2"/>
      </w:pPr>
      <w:r>
        <w:t>Erwägungen</w:t>
      </w:r>
    </w:p>
    <w:p>
      <w:r>
        <w:rPr>
          <w:b/>
        </w:rPr>
        <w:t>E. 3</w:t>
      </w:r>
    </w:p>
    <w:p>
      <w:r>
        <w:t>... a) Nach der Rechtsprechung des Bundesgerichts hat das kantonale Recht den gemäss Art. 103 lit. a und c OG Beschwerdeberechtigten dieselben Parteirechte zu gewähren wie das Bundesrecht ( BGE 116 Ib 122 mit Hinweis, 426 E. 3a). Die Vorinstanzen und der Beschwerdegegner stellen sich auf den Standpunkt, in der Sache selber wären die Beschwerdeführer nicht zur Verwaltungsgerichtsbeschwerde an das Bundesgericht legitimiert, weil die Behörde im hier zur Diskussion stehenden Baubewilligungsverfahren keine Bundesaufgabe im Sinne von Art. 2 NHG erfüllen würden. BGE 117 Ib 97 S. 100 Dieser Ansicht kann nicht gefolgt werden. Wie das Bundesgericht in konstanter Rechtsprechung entschieden hat, sind die gesamtschweizerischen ideellen Vereinigungen des Natur- und Heimatschutzes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116 Ib 121 f. E. 2b und 207 E. 3a, BGE 115 Ib 479 E. 1d, bb, BGE 114 Ib 271 E. 2b, BGE 112 Ib 77 ). Dabei ist entgegen der Meinung des Beschwerdegegners und der Vorinstanz nicht Voraussetzung, dass es um ein öffentliches Bauvorhaben des Bundes geht, noch dass ein vom Bund nach Art. 5 NHG inventarisiertes Schutzobjekt betroffen wird. Schon in BGE 112 Ib 75 erklärte das Bundesgericht ganz allgemein, in der Handhabung der Bestimmung von Art. 24 RPG im oben beschriebenen Sinne liege die Erfüllung einer Bundesaufgabe. Sein Hinweis auf Bauvorhaben, die "namentlich" in einer Landschaft verwirklicht werden sollen, die in einem Inventar des Bundes verzeichnet sind, erfolgte nur beispielhaft (ebenso in BGE 115 Ib 479 f. E. 1d, bb, und BGE 114 Ib 271 E. 2b, wo die Feststellung, es könnte ein BLN-Objekt betroffen sein, jeweils nicht im Sinne einer Voraussetzung der Legitimation gemacht wurde). Im Falle von BGE 116 Ib 121 ff. war überhaupt nicht mehr von einem Inventar die Rede. Der Wirkungsbereich des NHG beschränkt sich denn auch nicht nur auf Objekte von nationaler Bedeutung, wie zum Beispiel aus Art. 3 Abs. 3 und Art. 4 sowie Art. 18b und Art. 21 NHG hervorgeht. Ebensowenig ist erforderlich, dass es um ein Bauvorhaben des Bundes oder einer Bundesanstalt geht, wie der Beschwerdegegner aus einzelnen der oben zitierten Entscheide herauszulesen meint. So ging es zum Beispiel im Falle BGE 114 Ib 268 ff. um eine von der Korporation Walchwil projektierte Walderschliessungsstrasse, im Falle BGE 115 Ib 472 ff. um ein Flusssanierungsprojekt des Kantons Zürich und in den Fällen BGE 116 Ib 8 ff. und 119 ff. um eine von einem Privaten projektierte Geflügelmasthalle (vgl. auch BGE 115 Ib 335 ff., wo eine private Chaletsiedlung zur Diskussion stand, und BGE 116 Ib 207 ff. E. 3, wo es um ein kommunales Bauvorhaben ging). Dass im vorliegenden Fall eine Ausnahmebewiligung nach Art. 24 RPG zur Diskussion steht, gegen die grundsätzlich die Verwaltungsgerichtsbeschwerde an das Bundesgericht offensteht ( Art. 34 Abs. 1 RPG ), und dass die Beschwerdeführer Natur- und BGE 117 Ib 97 S. 101 Heimatschutzinteressen geltend machen, ist unbestritten. Nach dem Gesagten stünde somit dem SBN als gesamtschweizerischer ideeller Vereinigung gegen einen in der Sache ergangenen kantonal letztinstanzlichen Entscheid die Verwaltungsgerichtsbeschwerde an das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